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DF94F" w14:textId="43421D00" w:rsidR="003B580C" w:rsidRDefault="00EE071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3B580C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183FF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3B58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.2021 </w:t>
      </w:r>
    </w:p>
    <w:p w14:paraId="5AF93266" w14:textId="77777777" w:rsidR="00B71094" w:rsidRDefault="00B71094" w:rsidP="00B7109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DEBB44" w14:textId="5F62B24C" w:rsidR="00B71094" w:rsidRPr="00DB5558" w:rsidRDefault="00DB5558" w:rsidP="00B7109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55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9148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75</w:t>
      </w:r>
      <w:r w:rsidRPr="00DB55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% больше кредитов с гарантийной поддержкой получили </w:t>
      </w:r>
      <w:r w:rsidR="009148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МСП</w:t>
      </w:r>
      <w:r w:rsidR="00B71094" w:rsidRPr="00DB55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14:paraId="2881DC8D" w14:textId="473CA5B5" w:rsidR="009148EF" w:rsidRDefault="00EE0717" w:rsidP="003014D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history="1">
        <w:r w:rsidR="009148EF" w:rsidRPr="008D00A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Фонд</w:t>
        </w:r>
        <w:r w:rsidR="009148EF" w:rsidRPr="008D00A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9148EF" w:rsidRPr="008D00A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содействия кредитованию малого бизнеса Москвы</w:t>
        </w:r>
      </w:hyperlink>
      <w:r w:rsidR="009148EF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подведомственный Департаменту предпринимательства и инновационного развития города Москвы</w:t>
      </w:r>
      <w:r w:rsidR="009148EF" w:rsidRPr="00DB555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9148E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подвел итоги </w:t>
      </w:r>
      <w:r w:rsidR="00DB5558" w:rsidRPr="00DB555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первы</w:t>
      </w:r>
      <w:r w:rsidR="009148E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х</w:t>
      </w:r>
      <w:r w:rsidR="00DB5558" w:rsidRPr="00DB555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тр</w:t>
      </w:r>
      <w:r w:rsidR="009148E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ех</w:t>
      </w:r>
      <w:r w:rsidR="00DB5558" w:rsidRPr="00DB555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квартал</w:t>
      </w:r>
      <w:r w:rsidR="009148E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ов</w:t>
      </w:r>
      <w:r w:rsidR="00DB5558" w:rsidRPr="00DB555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2021</w:t>
      </w:r>
      <w:r w:rsidR="00DB555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 w:rsidR="00DB5558" w:rsidRPr="00DB555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года</w:t>
      </w:r>
      <w:r w:rsidR="009148E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</w:t>
      </w:r>
      <w:r w:rsidR="00DB555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 w:rsidR="009148E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МСП</w:t>
      </w:r>
      <w:r w:rsidR="00DB555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столицы привлекли 22,5 миллиарда рублей</w:t>
      </w:r>
      <w:r w:rsidR="00A36495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кредитов</w:t>
      </w:r>
      <w:r w:rsidR="004C72C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с гарантийной поддержкой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ФСКМБМ</w:t>
      </w:r>
      <w:r w:rsidR="00DB555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, что на 40% больше по объему</w:t>
      </w:r>
      <w:r w:rsidR="00074577" w:rsidRPr="00074577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 w:rsidR="00074577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и на 75% больше по количеству договоров</w:t>
      </w:r>
      <w:r w:rsidR="00DB555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, чем за а</w:t>
      </w:r>
      <w:r w:rsidR="009148E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налогичный период прошлого года</w:t>
      </w:r>
      <w:r w:rsidR="00B71094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CADE81E" w14:textId="77777777" w:rsidR="00EE0717" w:rsidRDefault="00B71094" w:rsidP="003014D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Фонд </w:t>
      </w:r>
      <w:r w:rsidR="004C72C6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реализует 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гарантийной поддержки и </w:t>
      </w:r>
      <w:r w:rsidR="00074577">
        <w:rPr>
          <w:rFonts w:ascii="Times New Roman" w:eastAsia="Times New Roman" w:hAnsi="Times New Roman" w:cs="Times New Roman"/>
          <w:color w:val="000000"/>
          <w:sz w:val="28"/>
          <w:szCs w:val="28"/>
        </w:rPr>
        <w:t>покрывает поручительством до 70% от суммы заемных средств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компаниям МСП, у которых не </w:t>
      </w:r>
      <w:r w:rsidR="00DB5558">
        <w:rPr>
          <w:rFonts w:ascii="Times New Roman" w:eastAsia="Times New Roman" w:hAnsi="Times New Roman" w:cs="Times New Roman"/>
          <w:color w:val="000000"/>
          <w:sz w:val="28"/>
          <w:szCs w:val="28"/>
        </w:rPr>
        <w:t>хватает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собственного обеспечения (залога).</w:t>
      </w:r>
      <w:r w:rsidR="004C72C6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r w:rsidR="00DB5558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указанный период</w:t>
      </w:r>
      <w:r w:rsidR="004C72C6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EE4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>фонд выдал поручительства</w:t>
      </w:r>
      <w:r w:rsidR="004C72C6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EE4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объеме </w:t>
      </w:r>
      <w:r w:rsidR="00DB5558">
        <w:rPr>
          <w:rFonts w:ascii="Times New Roman" w:eastAsia="Times New Roman" w:hAnsi="Times New Roman" w:cs="Times New Roman"/>
          <w:color w:val="000000"/>
          <w:sz w:val="28"/>
          <w:szCs w:val="28"/>
        </w:rPr>
        <w:t>11,0</w:t>
      </w:r>
      <w:r w:rsidR="000745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милл</w:t>
      </w:r>
      <w:r w:rsidR="004B0D18">
        <w:rPr>
          <w:rFonts w:ascii="Times New Roman" w:eastAsia="Times New Roman" w:hAnsi="Times New Roman" w:cs="Times New Roman"/>
          <w:color w:val="000000"/>
          <w:sz w:val="28"/>
          <w:szCs w:val="28"/>
        </w:rPr>
        <w:t>иардов рублей по 659 договорам (</w:t>
      </w:r>
      <w:r w:rsidR="0007457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сравнения в январе-сентябре 2020 года было соответственно 7,3 миллиарда рублей по 376 договорам</w:t>
      </w:r>
      <w:r w:rsidR="004B0D1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A49F213" w14:textId="36AEBF29" w:rsidR="00905D6C" w:rsidRPr="003014DD" w:rsidRDefault="004B0D18" w:rsidP="003014D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Важно, что </w:t>
      </w:r>
      <w:r w:rsidR="005C0E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почти половину средств с поддержкой фонда предприниматели получили </w:t>
      </w:r>
      <w:r w:rsidR="00914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начала 2021 года </w:t>
      </w:r>
      <w:r w:rsidR="005C0E1C">
        <w:rPr>
          <w:rFonts w:ascii="Times New Roman" w:eastAsia="Times New Roman" w:hAnsi="Times New Roman" w:cs="Times New Roman"/>
          <w:color w:val="000000"/>
          <w:sz w:val="28"/>
          <w:szCs w:val="28"/>
        </w:rPr>
        <w:t>еще и по ль</w:t>
      </w:r>
      <w:r w:rsidR="009148EF">
        <w:rPr>
          <w:rFonts w:ascii="Times New Roman" w:eastAsia="Times New Roman" w:hAnsi="Times New Roman" w:cs="Times New Roman"/>
          <w:color w:val="000000"/>
          <w:sz w:val="28"/>
          <w:szCs w:val="28"/>
        </w:rPr>
        <w:t>готным ставкам. Т</w:t>
      </w:r>
      <w:r w:rsidR="005C0E1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9148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C0E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31%</w:t>
      </w:r>
      <w:r w:rsidR="00914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заемных средств бизнес привлек по льготам </w:t>
      </w:r>
      <w:r w:rsidR="005C0E1C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действия программы субсидий Москвы на компенсацию ставки, и 1</w:t>
      </w:r>
      <w:r w:rsidR="00D63F9B" w:rsidRPr="00D63F9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C0E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льготным ставкам за счет федеральных программ поддержки. </w:t>
      </w:r>
    </w:p>
    <w:p w14:paraId="39C0E2B7" w14:textId="4CDB4449" w:rsidR="006C11D8" w:rsidRPr="003014DD" w:rsidRDefault="00BD7231" w:rsidP="006C11D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партнеров фонда по итогам трех кварталов 2021 года </w:t>
      </w:r>
      <w:r w:rsidR="00914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>ТОП5</w:t>
      </w:r>
      <w:r w:rsidR="00914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вошли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5C4725">
        <w:rPr>
          <w:rFonts w:ascii="Times New Roman" w:eastAsia="Times New Roman" w:hAnsi="Times New Roman" w:cs="Times New Roman"/>
          <w:color w:val="000000"/>
          <w:sz w:val="28"/>
          <w:szCs w:val="28"/>
        </w:rPr>
        <w:t>ПАО Сбербанк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C4725">
        <w:rPr>
          <w:rFonts w:ascii="Times New Roman" w:eastAsia="Times New Roman" w:hAnsi="Times New Roman" w:cs="Times New Roman"/>
          <w:color w:val="000000"/>
          <w:sz w:val="28"/>
          <w:szCs w:val="28"/>
        </w:rPr>
        <w:t>Банк ВТБ (ПАО)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C4725">
        <w:rPr>
          <w:rFonts w:ascii="Times New Roman" w:eastAsia="Times New Roman" w:hAnsi="Times New Roman" w:cs="Times New Roman"/>
          <w:color w:val="000000"/>
          <w:sz w:val="28"/>
          <w:szCs w:val="28"/>
        </w:rPr>
        <w:t>ПАО "Промсвязьбанк"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C4725">
        <w:rPr>
          <w:rFonts w:ascii="Times New Roman" w:eastAsia="Times New Roman" w:hAnsi="Times New Roman" w:cs="Times New Roman"/>
          <w:color w:val="000000"/>
          <w:sz w:val="28"/>
          <w:szCs w:val="28"/>
        </w:rPr>
        <w:t>АО "АЛЬФА-БАНК"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C4725">
        <w:rPr>
          <w:rFonts w:ascii="Times New Roman" w:eastAsia="Times New Roman" w:hAnsi="Times New Roman" w:cs="Times New Roman"/>
          <w:color w:val="000000"/>
          <w:sz w:val="28"/>
          <w:szCs w:val="28"/>
        </w:rPr>
        <w:t>АО "МСП БАНК"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все они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работают и в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московской программе льготного кредитования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148E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C11D8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Экономический</w:t>
      </w:r>
      <w:r w:rsidR="006C11D8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 </w:t>
      </w:r>
      <w:r w:rsidR="006C11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бизнеса </w:t>
      </w:r>
      <w:r w:rsidR="006C11D8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сочетания программ господдержки несомненен, ведь они </w:t>
      </w:r>
      <w:r w:rsidR="00246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исключают, а дополняют друг друга, </w:t>
      </w:r>
      <w:r w:rsidR="006C11D8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решают сразу две ключевые проблемы кредитования МСП</w:t>
      </w:r>
      <w:r w:rsidR="006C11D8">
        <w:rPr>
          <w:rFonts w:ascii="Times New Roman" w:eastAsia="Times New Roman" w:hAnsi="Times New Roman" w:cs="Times New Roman"/>
          <w:color w:val="000000"/>
          <w:sz w:val="28"/>
          <w:szCs w:val="28"/>
        </w:rPr>
        <w:t>: в</w:t>
      </w:r>
      <w:r w:rsidR="006C11D8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>о-первых, поручительство покрывает до 70% кредита, что существенно снижает риски кредитования этой категории заемщиков и положительно влияет на решение банка о выдаче</w:t>
      </w:r>
      <w:r w:rsidR="006C11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</w:t>
      </w:r>
      <w:r w:rsidR="006C11D8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>. Во-</w:t>
      </w:r>
      <w:proofErr w:type="gramStart"/>
      <w:r w:rsidR="006C11D8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>вторых,  программа</w:t>
      </w:r>
      <w:proofErr w:type="gramEnd"/>
      <w:r w:rsidR="006C11D8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субсидий на компенсацию </w:t>
      </w:r>
      <w:r w:rsidR="006C11D8">
        <w:rPr>
          <w:rFonts w:ascii="Times New Roman" w:eastAsia="Times New Roman" w:hAnsi="Times New Roman" w:cs="Times New Roman"/>
          <w:color w:val="000000"/>
          <w:sz w:val="28"/>
          <w:szCs w:val="28"/>
        </w:rPr>
        <w:t>до 8% годовой</w:t>
      </w:r>
      <w:r w:rsidR="006C11D8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ставки позволяет предложить заемщику льготн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C11D8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11D8"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цене существенно</w:t>
      </w:r>
      <w:r w:rsidR="006C11D8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ниже среднерыночной. </w:t>
      </w:r>
      <w:r w:rsidR="006C11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</w:t>
      </w:r>
      <w:r w:rsidR="006C11D8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предприниматели получают средства на максимально комфортных условиях.</w:t>
      </w:r>
      <w:r w:rsidR="006C11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11D8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возможности особенно важны в период восстановления экономики в </w:t>
      </w:r>
      <w:proofErr w:type="spellStart"/>
      <w:r w:rsidR="006C11D8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постпандемичный</w:t>
      </w:r>
      <w:proofErr w:type="spellEnd"/>
      <w:r w:rsidR="006C11D8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период», - пояснил Алексей Фурсин, руководитель столичного Департамента предпринимательства и инновационного развития. </w:t>
      </w:r>
    </w:p>
    <w:p w14:paraId="3B00B12B" w14:textId="2CFDFA5C" w:rsidR="00BD7231" w:rsidRDefault="0024615C" w:rsidP="00BD723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предприниматели и на какие цели привлекали кредиты с поддержкой фонда поясняет руководитель гарантийной организации Антон Купринов: «</w:t>
      </w:r>
      <w:r w:rsidR="00BD7231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острая нужда предпринимателей при обращении за кредитами – это нехватка оборотных средств, на эти цели фонд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направил</w:t>
      </w:r>
      <w:r w:rsidR="00BD7231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231">
        <w:rPr>
          <w:rFonts w:ascii="Times New Roman" w:eastAsia="Times New Roman" w:hAnsi="Times New Roman" w:cs="Times New Roman"/>
          <w:color w:val="000000"/>
          <w:sz w:val="28"/>
          <w:szCs w:val="28"/>
        </w:rPr>
        <w:t>80% объема</w:t>
      </w:r>
      <w:r w:rsidR="00BD7231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231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поручительств. 8</w:t>
      </w:r>
      <w:r w:rsidR="00BD7231" w:rsidRPr="00BD723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D7231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наших заемщиков,</w:t>
      </w:r>
      <w:r w:rsidR="00BD7231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именно микро и малые компании</w:t>
      </w:r>
      <w:r w:rsidR="00BD7231">
        <w:rPr>
          <w:rFonts w:ascii="Times New Roman" w:eastAsia="Times New Roman" w:hAnsi="Times New Roman" w:cs="Times New Roman"/>
          <w:color w:val="000000"/>
          <w:sz w:val="28"/>
          <w:szCs w:val="28"/>
        </w:rPr>
        <w:t>, а 14% средние</w:t>
      </w:r>
      <w:r w:rsidR="00BD7231"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говорить про отраслевую специфику получивших поддержку предпринимателей, то 62% среди них торговых предприятий, 17%</w:t>
      </w:r>
      <w:r w:rsidR="00914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производственных и инновационных, 4% - строительных, 4% </w:t>
      </w:r>
      <w:r w:rsidR="00914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транспортных и связи, 3% - медицинских, оставшиеся 10% - </w:t>
      </w:r>
      <w:r w:rsidR="00914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приходится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услуги. Отказ</w:t>
      </w:r>
      <w:r w:rsidR="008D00A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поручительстве </w:t>
      </w:r>
      <w:r w:rsidR="008D0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нас немного, но они случаются </w:t>
      </w:r>
      <w:r w:rsidR="004C01A6">
        <w:rPr>
          <w:rFonts w:ascii="Times New Roman" w:eastAsia="Times New Roman" w:hAnsi="Times New Roman" w:cs="Times New Roman"/>
          <w:color w:val="000000"/>
          <w:sz w:val="28"/>
          <w:szCs w:val="28"/>
        </w:rPr>
        <w:t>из-за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несоответствия документов регламентам, при выявлении в ходе проверки слабой финансовой устойчивости или </w:t>
      </w:r>
      <w:r w:rsidR="008D00AF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недобросовестности заемщика».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63541EF" w14:textId="267A5CFD" w:rsidR="006C11D8" w:rsidRDefault="008D00AF" w:rsidP="003014D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Обратиться за поручительством можно непосредственно </w:t>
      </w:r>
      <w:hyperlink r:id="rId8" w:history="1">
        <w:r w:rsidRPr="008D00A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в фонд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через </w:t>
      </w:r>
      <w:hyperlink r:id="rId9" w:history="1">
        <w:r w:rsidRPr="008D00A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банки-партнеры (</w:t>
        </w:r>
        <w:proofErr w:type="spellStart"/>
        <w:r w:rsidRPr="008D00A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см.перечень</w:t>
        </w:r>
        <w:proofErr w:type="spellEnd"/>
        <w:r w:rsidRPr="008D00A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Центры услуг для бизнеса.</w:t>
      </w:r>
    </w:p>
    <w:p w14:paraId="1D3DF7E9" w14:textId="77777777" w:rsidR="007E4481" w:rsidRDefault="00AD03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D038C">
        <w:rPr>
          <w:rFonts w:ascii="Times New Roman" w:eastAsia="Times New Roman" w:hAnsi="Times New Roman" w:cs="Times New Roman"/>
          <w:b/>
          <w:sz w:val="28"/>
          <w:szCs w:val="28"/>
        </w:rPr>
        <w:t>Справочно</w:t>
      </w:r>
      <w:proofErr w:type="spellEnd"/>
      <w:r w:rsidRPr="00AD038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807F8F6" w14:textId="013054DE" w:rsidR="000B32DB" w:rsidRDefault="00EE0717" w:rsidP="000B32D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history="1">
        <w:r w:rsidR="000B32DB" w:rsidRPr="003E6026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Фонд содействия кредитованию малого бизнеса Москвы</w:t>
        </w:r>
      </w:hyperlink>
      <w:r w:rsidR="000B32DB" w:rsidRPr="000B32DB">
        <w:rPr>
          <w:rFonts w:ascii="Times New Roman" w:eastAsia="Times New Roman" w:hAnsi="Times New Roman" w:cs="Times New Roman"/>
          <w:sz w:val="28"/>
          <w:szCs w:val="28"/>
        </w:rPr>
        <w:t xml:space="preserve"> (Московский гарантийный фонд) </w:t>
      </w:r>
      <w:r w:rsidR="00680BE5">
        <w:rPr>
          <w:rFonts w:ascii="Times New Roman" w:eastAsia="Times New Roman" w:hAnsi="Times New Roman" w:cs="Times New Roman"/>
          <w:sz w:val="28"/>
          <w:szCs w:val="28"/>
        </w:rPr>
        <w:t xml:space="preserve">подведомственен </w:t>
      </w:r>
      <w:r w:rsidR="000B32DB" w:rsidRPr="000B32DB">
        <w:rPr>
          <w:rFonts w:ascii="Times New Roman" w:eastAsia="Times New Roman" w:hAnsi="Times New Roman" w:cs="Times New Roman"/>
          <w:sz w:val="28"/>
          <w:szCs w:val="28"/>
        </w:rPr>
        <w:t>столично</w:t>
      </w:r>
      <w:r w:rsidR="00680BE5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0B32DB" w:rsidRPr="000B32DB">
        <w:rPr>
          <w:rFonts w:ascii="Times New Roman" w:eastAsia="Times New Roman" w:hAnsi="Times New Roman" w:cs="Times New Roman"/>
          <w:sz w:val="28"/>
          <w:szCs w:val="28"/>
        </w:rPr>
        <w:t xml:space="preserve"> Департамент</w:t>
      </w:r>
      <w:r w:rsidR="00680BE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B32DB" w:rsidRPr="000B32DB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предпринимательства и инновационного развития. </w:t>
      </w:r>
      <w:r w:rsidR="00A31FB3">
        <w:rPr>
          <w:rFonts w:ascii="Times New Roman" w:eastAsia="Times New Roman" w:hAnsi="Times New Roman" w:cs="Times New Roman"/>
          <w:color w:val="000000"/>
          <w:sz w:val="28"/>
          <w:szCs w:val="28"/>
        </w:rPr>
        <w:t>Фонд выдает</w:t>
      </w:r>
      <w:r w:rsidR="00680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80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МСП </w:t>
      </w:r>
      <w:r w:rsidR="00A31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поручительства</w:t>
      </w:r>
      <w:proofErr w:type="gramEnd"/>
      <w:r w:rsidR="00A31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0BE5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обеспечения по</w:t>
      </w:r>
      <w:r w:rsidR="00A31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кредитам, гарантиям, займам, лизингу, факторингу, аккредитивам. </w:t>
      </w:r>
      <w:r w:rsidR="000B32DB" w:rsidRPr="000B3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Средний размер поручительства 20 миллионов </w:t>
      </w:r>
      <w:proofErr w:type="gramStart"/>
      <w:r w:rsidR="000B32DB" w:rsidRPr="000B32DB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рублей,  максимальная</w:t>
      </w:r>
      <w:proofErr w:type="gramEnd"/>
      <w:r w:rsidR="000B32DB" w:rsidRPr="000B3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сумма </w:t>
      </w:r>
      <w:r w:rsidR="00680BE5">
        <w:rPr>
          <w:rFonts w:ascii="Times New Roman" w:eastAsia="Times New Roman" w:hAnsi="Times New Roman" w:cs="Times New Roman"/>
          <w:color w:val="000000"/>
          <w:sz w:val="28"/>
          <w:szCs w:val="28"/>
        </w:rPr>
        <w:t>покрытия поручительства 70%, но не свыше</w:t>
      </w:r>
      <w:r w:rsidR="000B32DB" w:rsidRPr="000B3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миллионов рублей</w:t>
      </w:r>
      <w:r w:rsidR="00A31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ставка поручительства от 0,5% годовых. </w:t>
      </w:r>
    </w:p>
    <w:p w14:paraId="53BD2F55" w14:textId="77777777" w:rsidR="003014DD" w:rsidRPr="003014DD" w:rsidRDefault="003014DD" w:rsidP="003014D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все время действия московской программы льготного кредитования МСП с мая 2020 года льготные кредиты на сумму более 132,9 млрд рублей получили свыше 18 тысяч компаний, в которых работают более 127 тысяч человек. По условиям программы Правительство Москвы субсидирует до 8% годовой ставки. В июле 2021 года программа была видоизменена и продлена с акцентом на приоритетные для Москвы отрасли. </w:t>
      </w:r>
    </w:p>
    <w:p w14:paraId="661C74F9" w14:textId="77777777" w:rsidR="00A36495" w:rsidRDefault="00A36495" w:rsidP="000B32D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C051E4" w14:textId="730A043C" w:rsidR="00A36495" w:rsidRDefault="00A36495" w:rsidP="000B32D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530"/>
      </w:tblGrid>
      <w:tr w:rsidR="006C11D8" w14:paraId="580039DD" w14:textId="77777777" w:rsidTr="00074577">
        <w:tc>
          <w:tcPr>
            <w:tcW w:w="4815" w:type="dxa"/>
          </w:tcPr>
          <w:p w14:paraId="44889962" w14:textId="4C7536AF" w:rsidR="00DB5558" w:rsidRDefault="00DB5558" w:rsidP="000B32D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BFBD54" wp14:editId="3839C0CA">
                  <wp:extent cx="2750820" cy="2545080"/>
                  <wp:effectExtent l="0" t="0" r="11430" b="762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4771135A" w14:textId="57D713DA" w:rsidR="00DB5558" w:rsidRDefault="00074577" w:rsidP="000B32D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12174F3" wp14:editId="23A862CE">
                  <wp:extent cx="2564130" cy="2438400"/>
                  <wp:effectExtent l="0" t="0" r="7620" b="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6C11D8" w14:paraId="40911D57" w14:textId="77777777" w:rsidTr="00074577">
        <w:tc>
          <w:tcPr>
            <w:tcW w:w="4815" w:type="dxa"/>
          </w:tcPr>
          <w:p w14:paraId="1BB8A8C8" w14:textId="4085F24B" w:rsidR="00DB5558" w:rsidRDefault="006C11D8" w:rsidP="000B32D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DAD043B" wp14:editId="5169F99B">
                  <wp:extent cx="3291840" cy="2423160"/>
                  <wp:effectExtent l="0" t="0" r="3810" b="1524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162FBDCD" w14:textId="43C31FC8" w:rsidR="00DB5558" w:rsidRPr="00074577" w:rsidRDefault="00074577" w:rsidP="000B32D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FA71413" wp14:editId="0DE32E30">
                  <wp:extent cx="2693670" cy="2385060"/>
                  <wp:effectExtent l="0" t="0" r="11430" b="1524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6C11D8" w14:paraId="0B0C930F" w14:textId="77777777" w:rsidTr="00D63F9B">
        <w:tc>
          <w:tcPr>
            <w:tcW w:w="4815" w:type="dxa"/>
          </w:tcPr>
          <w:p w14:paraId="1A1F7178" w14:textId="4B0C0275" w:rsidR="00DB5558" w:rsidRDefault="00D63F9B" w:rsidP="000B32D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6C72796" wp14:editId="4A54240A">
                  <wp:extent cx="2920365" cy="1751965"/>
                  <wp:effectExtent l="0" t="0" r="13335" b="63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4350BA6C" w14:textId="77777777" w:rsidR="00DB5558" w:rsidRDefault="00DB5558" w:rsidP="000B32D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5547B35" w14:textId="77777777" w:rsidR="00DB5558" w:rsidRDefault="00DB5558" w:rsidP="000B32D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3C38BA" w14:textId="5723DB2A" w:rsidR="00926E1D" w:rsidRDefault="006C2F6C" w:rsidP="000B32D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F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В СОЦСЕТИ:</w:t>
      </w:r>
    </w:p>
    <w:p w14:paraId="69E02622" w14:textId="77777777" w:rsidR="006C2F6C" w:rsidRDefault="006C2F6C" w:rsidP="000B32D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5E88FD" w14:textId="61CDAAA8" w:rsidR="006C2F6C" w:rsidRPr="006C2F6C" w:rsidRDefault="006C2F6C" w:rsidP="006C2F6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55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75</w:t>
      </w:r>
      <w:r w:rsidRPr="00DB55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% больше кредитов с гарантийной поддержкой получили </w:t>
      </w:r>
      <w:r w:rsidRPr="006C2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МСП </w:t>
      </w:r>
      <w:r w:rsidRPr="006C2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столицы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первые 3 квартала</w:t>
      </w:r>
      <w:r w:rsidRPr="00DB555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2021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 w:rsidRPr="00DB555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фонд выдал </w:t>
      </w:r>
      <w:r w:rsidRPr="006C2F6C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поручительства в объеме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11,0 миллиардов рублей по 659 договорам (+75%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аналогич.периоду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2020), под которые </w:t>
      </w:r>
      <w:r w:rsidRPr="006C2F6C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МСП </w:t>
      </w:r>
      <w:r w:rsidRPr="006C2F6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#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Москвы привлекли 22,5 миллиарда рублей кредитов с гарантийной поддержкой/</w:t>
      </w:r>
    </w:p>
    <w:p w14:paraId="4FBA0D8D" w14:textId="567E80F9" w:rsidR="006C2F6C" w:rsidRPr="006C2F6C" w:rsidRDefault="006C2F6C" w:rsidP="006C2F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F6C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Поручительство </w:t>
      </w:r>
      <w:r w:rsidRPr="006C2F6C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>Фонд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покрывает до 70% от суммы заемных средств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компаниям, у которых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хватает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залога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МСП получили половину средств с гарантийной поддержкой фонда еще и по льготным ставкам: за счет программы московских субсидий на компенсацию до 8% ставки (31%)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 федеральных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 поддержки кредитования(18%). </w:t>
      </w:r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льготные кредиты </w:t>
      </w:r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кредитысгосподдержкой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предприниматели</w:t>
      </w:r>
    </w:p>
    <w:p w14:paraId="2FA6CA8B" w14:textId="7788690E" w:rsidR="006C2F6C" w:rsidRPr="003014DD" w:rsidRDefault="006C2F6C" w:rsidP="006C2F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3х кварталов 2021 года в 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>ТОП5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работе с фондом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5C4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ПАО </w:t>
      </w:r>
      <w:r w:rsidR="00E75504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 w:rsidRPr="005C4725">
        <w:rPr>
          <w:rFonts w:ascii="Times New Roman" w:eastAsia="Times New Roman" w:hAnsi="Times New Roman" w:cs="Times New Roman"/>
          <w:color w:val="000000"/>
          <w:sz w:val="28"/>
          <w:szCs w:val="28"/>
        </w:rPr>
        <w:t>Сбербанк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C4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Банк </w:t>
      </w:r>
      <w:r w:rsidR="00E75504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 w:rsidRPr="005C4725">
        <w:rPr>
          <w:rFonts w:ascii="Times New Roman" w:eastAsia="Times New Roman" w:hAnsi="Times New Roman" w:cs="Times New Roman"/>
          <w:color w:val="000000"/>
          <w:sz w:val="28"/>
          <w:szCs w:val="28"/>
        </w:rPr>
        <w:t>ВТБ (ПАО)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C4725">
        <w:rPr>
          <w:rFonts w:ascii="Times New Roman" w:eastAsia="Times New Roman" w:hAnsi="Times New Roman" w:cs="Times New Roman"/>
          <w:color w:val="000000"/>
          <w:sz w:val="28"/>
          <w:szCs w:val="28"/>
        </w:rPr>
        <w:t>ПАО "</w:t>
      </w:r>
      <w:r w:rsidR="00E75504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 w:rsidRPr="005C4725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Промсвязьбанк"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C4725">
        <w:rPr>
          <w:rFonts w:ascii="Times New Roman" w:eastAsia="Times New Roman" w:hAnsi="Times New Roman" w:cs="Times New Roman"/>
          <w:color w:val="000000"/>
          <w:sz w:val="28"/>
          <w:szCs w:val="28"/>
        </w:rPr>
        <w:t>АО "</w:t>
      </w:r>
      <w:r w:rsidR="00E75504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 w:rsidRPr="005C4725">
        <w:rPr>
          <w:rFonts w:ascii="Times New Roman" w:eastAsia="Times New Roman" w:hAnsi="Times New Roman" w:cs="Times New Roman"/>
          <w:color w:val="000000"/>
          <w:sz w:val="28"/>
          <w:szCs w:val="28"/>
        </w:rPr>
        <w:t>АЛЬФАБАНК"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C4725">
        <w:rPr>
          <w:rFonts w:ascii="Times New Roman" w:eastAsia="Times New Roman" w:hAnsi="Times New Roman" w:cs="Times New Roman"/>
          <w:color w:val="000000"/>
          <w:sz w:val="28"/>
          <w:szCs w:val="28"/>
        </w:rPr>
        <w:t>АО "</w:t>
      </w:r>
      <w:r w:rsidR="00E75504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 w:rsidRPr="005C4725">
        <w:rPr>
          <w:rFonts w:ascii="Times New Roman" w:eastAsia="Times New Roman" w:hAnsi="Times New Roman" w:cs="Times New Roman"/>
          <w:color w:val="000000"/>
          <w:sz w:val="28"/>
          <w:szCs w:val="28"/>
        </w:rPr>
        <w:t>МСПБАНК"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75504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proofErr w:type="spellStart"/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</w:t>
      </w:r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господдержки</w:t>
      </w:r>
      <w:proofErr w:type="spellEnd"/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дополняют друг друга, 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решают сразу две ключевые проблемы </w:t>
      </w:r>
      <w:r w:rsidR="00E75504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proofErr w:type="spellStart"/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кредитовани</w:t>
      </w:r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>МСП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поручительство покрывает до 70% кредита, снижает риски кредитования </w:t>
      </w:r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МСП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положительно влияет на решение банка о выдаче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кредита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gramStart"/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московская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программа</w:t>
      </w:r>
      <w:proofErr w:type="gramEnd"/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субсидий на компенсацию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8% годовой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ставки позволяет </w:t>
      </w:r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сделать цену кредита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существенно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ниже среднерыночной.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</w:t>
      </w:r>
      <w:r w:rsidRPr="003014D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предприниматели получают средства на максимально комфортных условиях.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4DBB51C" w14:textId="77777777" w:rsidR="00E75504" w:rsidRDefault="006C2F6C" w:rsidP="006C2F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предприниматели и на какие цели привлекали кредиты с поддержкой фонда</w:t>
      </w:r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DE3ED5D" w14:textId="6B570FAD" w:rsidR="00E75504" w:rsidRDefault="00E75504" w:rsidP="00E75504">
      <w:pPr>
        <w:pStyle w:val="af6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80% объема поручительств направлено на кредиты для пополнения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оборотных средств, а также инвестиции, рефинансирование и др.;</w:t>
      </w:r>
      <w:r w:rsidR="006C2F6C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6014FA5" w14:textId="77777777" w:rsidR="00E75504" w:rsidRDefault="006C2F6C" w:rsidP="00E75504">
      <w:pPr>
        <w:pStyle w:val="af6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86% заемщиков</w:t>
      </w:r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фонда -</w:t>
      </w:r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микро и малые компании, а 14% средние</w:t>
      </w:r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27BAA40" w14:textId="77777777" w:rsidR="00E75504" w:rsidRDefault="006C2F6C" w:rsidP="006D1B8D">
      <w:pPr>
        <w:pStyle w:val="af6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62% </w:t>
      </w:r>
      <w:r w:rsidR="00E75504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5504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proofErr w:type="spellStart"/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торговы</w:t>
      </w:r>
      <w:r w:rsidR="00E75504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екомпании</w:t>
      </w:r>
      <w:proofErr w:type="spellEnd"/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75504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#торговля, </w:t>
      </w:r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17% - </w:t>
      </w:r>
      <w:r w:rsidR="00E75504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производство</w:t>
      </w:r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4% - </w:t>
      </w:r>
      <w:r w:rsidR="00E75504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строительные</w:t>
      </w:r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4% - </w:t>
      </w:r>
      <w:r w:rsidR="00E75504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</w:t>
      </w:r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E75504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, 3% - медицин</w:t>
      </w:r>
      <w:r w:rsid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10% -  различные услуги. </w:t>
      </w:r>
    </w:p>
    <w:p w14:paraId="2CB4F4B0" w14:textId="375FEF40" w:rsidR="006C2F6C" w:rsidRPr="00E75504" w:rsidRDefault="00E75504" w:rsidP="00E75504">
      <w:p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Причины отказа в поручительстве фонда: </w:t>
      </w:r>
      <w:r w:rsidR="006C2F6C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C2F6C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 регламентам, слаб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6C2F6C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6C2F6C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устойчивост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C2F6C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недобросовестност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C2F6C" w:rsidRPr="00E7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заемщика. </w:t>
      </w:r>
    </w:p>
    <w:p w14:paraId="351BD4A3" w14:textId="77777777" w:rsidR="006C2F6C" w:rsidRDefault="006C2F6C" w:rsidP="006C2F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Обратиться за поручительством можно непосредственно </w:t>
      </w:r>
      <w:hyperlink r:id="rId16" w:history="1">
        <w:r w:rsidRPr="008D00A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в фонд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через </w:t>
      </w:r>
      <w:hyperlink r:id="rId17" w:history="1">
        <w:r w:rsidRPr="008D00A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банки-партнеры (</w:t>
        </w:r>
        <w:proofErr w:type="spellStart"/>
        <w:r w:rsidRPr="008D00A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см.перечень</w:t>
        </w:r>
        <w:proofErr w:type="spellEnd"/>
        <w:r w:rsidRPr="008D00A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Центры услуг для бизнеса.</w:t>
      </w:r>
    </w:p>
    <w:p w14:paraId="61583A73" w14:textId="03728B44" w:rsidR="000D0482" w:rsidRPr="006C2F6C" w:rsidRDefault="000D0482" w:rsidP="00BD37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D0482" w:rsidRPr="006C2F6C">
      <w:headerReference w:type="default" r:id="rId1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0062F" w16cex:dateUtc="2020-11-06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186C3A" w16cid:durableId="235006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09ECA" w14:textId="77777777" w:rsidR="00F44DDE" w:rsidRDefault="00F44DDE">
      <w:pPr>
        <w:spacing w:after="0" w:line="240" w:lineRule="auto"/>
      </w:pPr>
      <w:r>
        <w:separator/>
      </w:r>
    </w:p>
  </w:endnote>
  <w:endnote w:type="continuationSeparator" w:id="0">
    <w:p w14:paraId="52C60271" w14:textId="77777777" w:rsidR="00F44DDE" w:rsidRDefault="00F4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3024A" w14:textId="77777777" w:rsidR="00F44DDE" w:rsidRDefault="00F44DDE">
      <w:pPr>
        <w:spacing w:after="0" w:line="240" w:lineRule="auto"/>
      </w:pPr>
      <w:r>
        <w:separator/>
      </w:r>
    </w:p>
  </w:footnote>
  <w:footnote w:type="continuationSeparator" w:id="0">
    <w:p w14:paraId="26AABE11" w14:textId="77777777" w:rsidR="00F44DDE" w:rsidRDefault="00F44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e"/>
      <w:tblW w:w="0" w:type="auto"/>
      <w:tblLook w:val="04A0" w:firstRow="1" w:lastRow="0" w:firstColumn="1" w:lastColumn="0" w:noHBand="0" w:noVBand="1"/>
    </w:tblPr>
    <w:tblGrid>
      <w:gridCol w:w="4672"/>
      <w:gridCol w:w="4673"/>
    </w:tblGrid>
    <w:tr w:rsidR="00EE0717" w14:paraId="5E67E507" w14:textId="77777777" w:rsidTr="00EE0717">
      <w:tc>
        <w:tcPr>
          <w:tcW w:w="4672" w:type="dxa"/>
        </w:tcPr>
        <w:p w14:paraId="17DDC374" w14:textId="6B614875" w:rsidR="00EE0717" w:rsidRDefault="00EE0717">
          <w:pPr>
            <w:tabs>
              <w:tab w:val="center" w:pos="4677"/>
              <w:tab w:val="right" w:pos="9355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E259D01" wp14:editId="5404E370">
                <wp:extent cx="2594691" cy="698571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4691" cy="6985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3" w:type="dxa"/>
        </w:tcPr>
        <w:p w14:paraId="319FE6D9" w14:textId="5FA0F6DD" w:rsidR="00EE0717" w:rsidRDefault="00EE0717" w:rsidP="00EE0717">
          <w:pPr>
            <w:tabs>
              <w:tab w:val="center" w:pos="4677"/>
              <w:tab w:val="right" w:pos="9355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D2B5839" wp14:editId="492B8306">
                <wp:extent cx="2455545" cy="580478"/>
                <wp:effectExtent l="0" t="0" r="190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Фонд лого ярк_мал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552" cy="587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05AA6E" w14:textId="56E6CA89" w:rsidR="007E4481" w:rsidRDefault="007E44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661BF"/>
    <w:multiLevelType w:val="hybridMultilevel"/>
    <w:tmpl w:val="71986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81"/>
    <w:rsid w:val="00053FB7"/>
    <w:rsid w:val="00065D73"/>
    <w:rsid w:val="00074577"/>
    <w:rsid w:val="000B32DB"/>
    <w:rsid w:val="000C4C4B"/>
    <w:rsid w:val="000D0482"/>
    <w:rsid w:val="000E3065"/>
    <w:rsid w:val="000F637F"/>
    <w:rsid w:val="00140050"/>
    <w:rsid w:val="001559C7"/>
    <w:rsid w:val="00183FF3"/>
    <w:rsid w:val="00206085"/>
    <w:rsid w:val="0024615C"/>
    <w:rsid w:val="002B3FF5"/>
    <w:rsid w:val="002B6A21"/>
    <w:rsid w:val="003014DD"/>
    <w:rsid w:val="003176CF"/>
    <w:rsid w:val="0032198E"/>
    <w:rsid w:val="00323B55"/>
    <w:rsid w:val="003424C8"/>
    <w:rsid w:val="003504BC"/>
    <w:rsid w:val="003A07C2"/>
    <w:rsid w:val="003B580C"/>
    <w:rsid w:val="003D6FF8"/>
    <w:rsid w:val="003E6026"/>
    <w:rsid w:val="003F038C"/>
    <w:rsid w:val="0041294B"/>
    <w:rsid w:val="0043481C"/>
    <w:rsid w:val="00445698"/>
    <w:rsid w:val="004573D5"/>
    <w:rsid w:val="00461848"/>
    <w:rsid w:val="004B0D18"/>
    <w:rsid w:val="004C01A6"/>
    <w:rsid w:val="004C72C6"/>
    <w:rsid w:val="004D300F"/>
    <w:rsid w:val="005446AF"/>
    <w:rsid w:val="005508CA"/>
    <w:rsid w:val="00555409"/>
    <w:rsid w:val="0055563C"/>
    <w:rsid w:val="0059080D"/>
    <w:rsid w:val="005C0E1C"/>
    <w:rsid w:val="005C4725"/>
    <w:rsid w:val="005C4A97"/>
    <w:rsid w:val="005C7D0C"/>
    <w:rsid w:val="006164C2"/>
    <w:rsid w:val="00621F08"/>
    <w:rsid w:val="006230D3"/>
    <w:rsid w:val="00624D9A"/>
    <w:rsid w:val="00633E2F"/>
    <w:rsid w:val="00634CFA"/>
    <w:rsid w:val="00637077"/>
    <w:rsid w:val="00680BE5"/>
    <w:rsid w:val="006B5067"/>
    <w:rsid w:val="006C11D8"/>
    <w:rsid w:val="006C2F6C"/>
    <w:rsid w:val="006C61FD"/>
    <w:rsid w:val="007127CB"/>
    <w:rsid w:val="00721CE1"/>
    <w:rsid w:val="0076333C"/>
    <w:rsid w:val="007C61D6"/>
    <w:rsid w:val="007E4481"/>
    <w:rsid w:val="008005D9"/>
    <w:rsid w:val="00864688"/>
    <w:rsid w:val="008D00AF"/>
    <w:rsid w:val="00905D6C"/>
    <w:rsid w:val="00907B89"/>
    <w:rsid w:val="009148EF"/>
    <w:rsid w:val="00926E1D"/>
    <w:rsid w:val="00980C10"/>
    <w:rsid w:val="00991EE4"/>
    <w:rsid w:val="0099294E"/>
    <w:rsid w:val="009A26DC"/>
    <w:rsid w:val="009D4DB0"/>
    <w:rsid w:val="00A22D30"/>
    <w:rsid w:val="00A31FB3"/>
    <w:rsid w:val="00A36495"/>
    <w:rsid w:val="00A37FDF"/>
    <w:rsid w:val="00A62B8C"/>
    <w:rsid w:val="00AA32BD"/>
    <w:rsid w:val="00AB4913"/>
    <w:rsid w:val="00AD038C"/>
    <w:rsid w:val="00B33EF3"/>
    <w:rsid w:val="00B63805"/>
    <w:rsid w:val="00B71094"/>
    <w:rsid w:val="00BB6DD2"/>
    <w:rsid w:val="00BD37C3"/>
    <w:rsid w:val="00BD381B"/>
    <w:rsid w:val="00BD7231"/>
    <w:rsid w:val="00C6468E"/>
    <w:rsid w:val="00CA0265"/>
    <w:rsid w:val="00CF578C"/>
    <w:rsid w:val="00D63F9B"/>
    <w:rsid w:val="00DB5558"/>
    <w:rsid w:val="00DC568B"/>
    <w:rsid w:val="00E258FA"/>
    <w:rsid w:val="00E75504"/>
    <w:rsid w:val="00EE0717"/>
    <w:rsid w:val="00F12D2B"/>
    <w:rsid w:val="00F40F22"/>
    <w:rsid w:val="00F44DD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19C783"/>
  <w15:docId w15:val="{C96C1AAC-8651-4601-920C-40C4AC98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342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0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080D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F4FB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F4FB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F4FB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F4FB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F4FB5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FF4FB5"/>
    <w:pPr>
      <w:spacing w:after="0" w:line="240" w:lineRule="auto"/>
    </w:pPr>
  </w:style>
  <w:style w:type="table" w:styleId="ae">
    <w:name w:val="Table Grid"/>
    <w:basedOn w:val="a1"/>
    <w:uiPriority w:val="39"/>
    <w:rsid w:val="003D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5508CA"/>
    <w:pPr>
      <w:spacing w:after="0" w:line="240" w:lineRule="auto"/>
    </w:pPr>
    <w:rPr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5508CA"/>
    <w:rPr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unhideWhenUsed/>
    <w:rsid w:val="005508CA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91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148EF"/>
  </w:style>
  <w:style w:type="paragraph" w:styleId="af4">
    <w:name w:val="footer"/>
    <w:basedOn w:val="a"/>
    <w:link w:val="af5"/>
    <w:uiPriority w:val="99"/>
    <w:unhideWhenUsed/>
    <w:rsid w:val="0091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148EF"/>
  </w:style>
  <w:style w:type="paragraph" w:styleId="af6">
    <w:name w:val="List Paragraph"/>
    <w:basedOn w:val="a"/>
    <w:uiPriority w:val="34"/>
    <w:qFormat/>
    <w:rsid w:val="00E7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garantfund.ru" TargetMode="External"/><Relationship Id="rId13" Type="http://schemas.openxmlformats.org/officeDocument/2006/relationships/chart" Target="charts/chart3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://www.mosgarantfund.ru" TargetMode="External"/><Relationship Id="rId12" Type="http://schemas.openxmlformats.org/officeDocument/2006/relationships/chart" Target="charts/chart2.xml"/><Relationship Id="rId17" Type="http://schemas.openxmlformats.org/officeDocument/2006/relationships/hyperlink" Target="https://www.fskmb.ru/all_bank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garantfund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10" Type="http://schemas.openxmlformats.org/officeDocument/2006/relationships/hyperlink" Target="http://www.mosgarantfund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skmb.ru/all_banks/" TargetMode="External"/><Relationship Id="rId14" Type="http://schemas.openxmlformats.org/officeDocument/2006/relationships/chart" Target="charts/chart4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repina\AppData\Local\Microsoft\Windows\INetCache\Content.Outlook\KQ1FAY24\30.09.21&#1080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repina\AppData\Local\Microsoft\Windows\INetCache\Content.Outlook\KQ1FAY24\30.09.21&#1080;&#109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repina\AppData\Local\Microsoft\Windows\INetCache\Content.Outlook\KQ1FAY24\30.09.21&#1080;&#109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repina\AppData\Local\Microsoft\Windows\INetCache\Content.Outlook\KQ1FAY24\30.09.21&#1080;&#1090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repina\AppData\Local\Microsoft\Windows\INetCache\Content.Outlook\KQ1FAY24\30.09.21&#1080;&#1090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900" b="1"/>
              <a:t>Структура поручительств ФСКМБМ по видам МСП, </a:t>
            </a:r>
            <a:r>
              <a:rPr lang="en-US" sz="900" b="1"/>
              <a:t>I-IX</a:t>
            </a:r>
            <a:r>
              <a:rPr lang="ru-RU" sz="900" b="1"/>
              <a:t>,</a:t>
            </a:r>
            <a:r>
              <a:rPr lang="ru-RU" sz="900" b="1" baseline="0"/>
              <a:t> 2021</a:t>
            </a:r>
            <a:endParaRPr lang="ru-RU" sz="900" b="1"/>
          </a:p>
        </c:rich>
      </c:tx>
      <c:layout>
        <c:manualLayout>
          <c:xMode val="edge"/>
          <c:yMode val="edge"/>
          <c:x val="0.1157499107360983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26233232272558737"/>
                  <c:y val="-1.898643657566756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22800401334874687"/>
                  <c:y val="-7.553515017209684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3689195100612425E-2"/>
                  <c:y val="0.1674737532808399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>
                  <a:lumMod val="95000"/>
                </a:schemeClr>
              </a:solidFill>
              <a:ln>
                <a:solidFill>
                  <a:schemeClr val="bg2">
                    <a:lumMod val="75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итм!$B$9:$B$11</c:f>
              <c:strCache>
                <c:ptCount val="3"/>
                <c:pt idx="0">
                  <c:v>Малые </c:v>
                </c:pt>
                <c:pt idx="1">
                  <c:v>Микро</c:v>
                </c:pt>
                <c:pt idx="2">
                  <c:v>Средние </c:v>
                </c:pt>
              </c:strCache>
            </c:strRef>
          </c:cat>
          <c:val>
            <c:numRef>
              <c:f>итм!$C$9:$C$11</c:f>
              <c:numCache>
                <c:formatCode>#,##0.00</c:formatCode>
                <c:ptCount val="3"/>
                <c:pt idx="0">
                  <c:v>5959857127.1300001</c:v>
                </c:pt>
                <c:pt idx="1">
                  <c:v>3541070994.8199997</c:v>
                </c:pt>
                <c:pt idx="2">
                  <c:v>1474873427.8300002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900" b="1"/>
              <a:t>Структура объема поручительств ФСКМБМ по отраслям, </a:t>
            </a:r>
            <a:r>
              <a:rPr lang="en-US" sz="900" b="1"/>
              <a:t>I-IX, 2021</a:t>
            </a:r>
          </a:p>
        </c:rich>
      </c:tx>
      <c:layout>
        <c:manualLayout>
          <c:xMode val="edge"/>
          <c:yMode val="edge"/>
          <c:x val="0.14333828628033679"/>
          <c:y val="1.56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45058947869258"/>
          <c:y val="0.26676427165354333"/>
          <c:w val="0.59268211830133422"/>
          <c:h val="0.6232422900262467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1311747389302946E-2"/>
                  <c:y val="-6.2417067658209396E-2"/>
                </c:manualLayout>
              </c:layout>
              <c:spPr>
                <a:solidFill>
                  <a:schemeClr val="bg1">
                    <a:lumMod val="95000"/>
                  </a:schemeClr>
                </a:solidFill>
                <a:ln>
                  <a:solidFill>
                    <a:schemeClr val="bg2">
                      <a:lumMod val="75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82103091496922"/>
                      <c:h val="0.15177083333333333"/>
                    </c:manualLayout>
                  </c15:layout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8038729348095988E-2"/>
                  <c:y val="-3.174504228638087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06042595344231"/>
                      <c:h val="0.12554708005249343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1.6362860892388552E-2"/>
                  <c:y val="7.740449110527855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>
                  <a:lumMod val="95000"/>
                </a:schemeClr>
              </a:solidFill>
              <a:ln>
                <a:solidFill>
                  <a:schemeClr val="bg2">
                    <a:lumMod val="75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(сфера!$D$10,сфера!$D$12,сфера!$D$16,сфера!$D$18,сфера!$D$20,сфера!$D$22,сфера!$D$24,сфера!$D$29)</c:f>
              <c:strCache>
                <c:ptCount val="8"/>
                <c:pt idx="0">
                  <c:v>медицина </c:v>
                </c:pt>
                <c:pt idx="1">
                  <c:v>образование </c:v>
                </c:pt>
                <c:pt idx="2">
                  <c:v>производство, инновации </c:v>
                </c:pt>
                <c:pt idx="3">
                  <c:v>прочее </c:v>
                </c:pt>
                <c:pt idx="4">
                  <c:v>строительство </c:v>
                </c:pt>
                <c:pt idx="5">
                  <c:v>торговля </c:v>
                </c:pt>
                <c:pt idx="6">
                  <c:v>транспорт, связь </c:v>
                </c:pt>
                <c:pt idx="7">
                  <c:v>услуги </c:v>
                </c:pt>
              </c:strCache>
            </c:strRef>
          </c:cat>
          <c:val>
            <c:numRef>
              <c:f>(сфера!$G$10,сфера!$G$12,сфера!$G$16,сфера!$G$18,сфера!$G$20,сфера!$G$22,сфера!$G$24,сфера!$G$29)</c:f>
              <c:numCache>
                <c:formatCode>#,##0.00</c:formatCode>
                <c:ptCount val="8"/>
                <c:pt idx="0">
                  <c:v>285876529.38</c:v>
                </c:pt>
                <c:pt idx="1">
                  <c:v>6500000</c:v>
                </c:pt>
                <c:pt idx="2">
                  <c:v>1813171900</c:v>
                </c:pt>
                <c:pt idx="3">
                  <c:v>48000000</c:v>
                </c:pt>
                <c:pt idx="4">
                  <c:v>476084869.94999999</c:v>
                </c:pt>
                <c:pt idx="5">
                  <c:v>6828306919.920001</c:v>
                </c:pt>
                <c:pt idx="6">
                  <c:v>391767560.89999998</c:v>
                </c:pt>
                <c:pt idx="7">
                  <c:v>1126093769.6300001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64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TOP10 </a:t>
            </a:r>
            <a:r>
              <a:rPr lang="ru-RU" sz="1000" b="1"/>
              <a:t>партнеров ФСКМБМ, </a:t>
            </a:r>
            <a:r>
              <a:rPr lang="en-US" sz="1000" b="1"/>
              <a:t>I-IX, 2021</a:t>
            </a:r>
          </a:p>
        </c:rich>
      </c:tx>
      <c:layout>
        <c:manualLayout>
          <c:xMode val="edge"/>
          <c:yMode val="edge"/>
          <c:x val="0.15655864197530864"/>
          <c:y val="1.04821802935010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7753674098818454"/>
          <c:y val="0.1561026936026936"/>
          <c:w val="0.58344114813931092"/>
          <c:h val="0.682792823245579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банк!$F$8</c:f>
              <c:strCache>
                <c:ptCount val="1"/>
                <c:pt idx="0">
                  <c:v>поручительства, млрд руб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банк!$E$9:$E$18</c:f>
              <c:strCache>
                <c:ptCount val="10"/>
                <c:pt idx="0">
                  <c:v>Сбербанк</c:v>
                </c:pt>
                <c:pt idx="1">
                  <c:v>Банк ВТБ </c:v>
                </c:pt>
                <c:pt idx="2">
                  <c:v>Промсвязьбанк</c:v>
                </c:pt>
                <c:pt idx="3">
                  <c:v>АЛЬФА-БАНК</c:v>
                </c:pt>
                <c:pt idx="4">
                  <c:v>МСП БАНК</c:v>
                </c:pt>
                <c:pt idx="5">
                  <c:v>ФК Открытие</c:v>
                </c:pt>
                <c:pt idx="6">
                  <c:v>СМП-Банк</c:v>
                </c:pt>
                <c:pt idx="7">
                  <c:v>БАНК ИНТЕЗА</c:v>
                </c:pt>
                <c:pt idx="8">
                  <c:v>ИНТЕРПРОГРЕССБАНК</c:v>
                </c:pt>
                <c:pt idx="9">
                  <c:v> Банк ЗЕНИТ</c:v>
                </c:pt>
              </c:strCache>
            </c:strRef>
          </c:cat>
          <c:val>
            <c:numRef>
              <c:f>банк!$F$9:$F$18</c:f>
              <c:numCache>
                <c:formatCode>#,##0.00</c:formatCode>
                <c:ptCount val="10"/>
                <c:pt idx="0">
                  <c:v>3462179366.6399999</c:v>
                </c:pt>
                <c:pt idx="1">
                  <c:v>1928900637.6899998</c:v>
                </c:pt>
                <c:pt idx="2">
                  <c:v>1377485465.2</c:v>
                </c:pt>
                <c:pt idx="3">
                  <c:v>1429810652.3</c:v>
                </c:pt>
                <c:pt idx="4">
                  <c:v>645870929.02999997</c:v>
                </c:pt>
                <c:pt idx="5">
                  <c:v>574017138</c:v>
                </c:pt>
                <c:pt idx="6">
                  <c:v>426447800</c:v>
                </c:pt>
                <c:pt idx="7">
                  <c:v>94996000</c:v>
                </c:pt>
                <c:pt idx="8">
                  <c:v>177340000</c:v>
                </c:pt>
                <c:pt idx="9">
                  <c:v>122918500</c:v>
                </c:pt>
              </c:numCache>
            </c:numRef>
          </c:val>
        </c:ser>
        <c:ser>
          <c:idx val="1"/>
          <c:order val="1"/>
          <c:tx>
            <c:strRef>
              <c:f>банк!$G$8</c:f>
              <c:strCache>
                <c:ptCount val="1"/>
                <c:pt idx="0">
                  <c:v>договоры, шт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банк!$E$9:$E$18</c:f>
              <c:strCache>
                <c:ptCount val="10"/>
                <c:pt idx="0">
                  <c:v>Сбербанк</c:v>
                </c:pt>
                <c:pt idx="1">
                  <c:v>Банк ВТБ </c:v>
                </c:pt>
                <c:pt idx="2">
                  <c:v>Промсвязьбанк</c:v>
                </c:pt>
                <c:pt idx="3">
                  <c:v>АЛЬФА-БАНК</c:v>
                </c:pt>
                <c:pt idx="4">
                  <c:v>МСП БАНК</c:v>
                </c:pt>
                <c:pt idx="5">
                  <c:v>ФК Открытие</c:v>
                </c:pt>
                <c:pt idx="6">
                  <c:v>СМП-Банк</c:v>
                </c:pt>
                <c:pt idx="7">
                  <c:v>БАНК ИНТЕЗА</c:v>
                </c:pt>
                <c:pt idx="8">
                  <c:v>ИНТЕРПРОГРЕССБАНК</c:v>
                </c:pt>
                <c:pt idx="9">
                  <c:v> Банк ЗЕНИТ</c:v>
                </c:pt>
              </c:strCache>
            </c:strRef>
          </c:cat>
          <c:val>
            <c:numRef>
              <c:f>банк!$G$9:$G$18</c:f>
              <c:numCache>
                <c:formatCode>0</c:formatCode>
                <c:ptCount val="10"/>
                <c:pt idx="0">
                  <c:v>290</c:v>
                </c:pt>
                <c:pt idx="1">
                  <c:v>125</c:v>
                </c:pt>
                <c:pt idx="2">
                  <c:v>74</c:v>
                </c:pt>
                <c:pt idx="3">
                  <c:v>49</c:v>
                </c:pt>
                <c:pt idx="4">
                  <c:v>15</c:v>
                </c:pt>
                <c:pt idx="5">
                  <c:v>22</c:v>
                </c:pt>
                <c:pt idx="6">
                  <c:v>16</c:v>
                </c:pt>
                <c:pt idx="7">
                  <c:v>13</c:v>
                </c:pt>
                <c:pt idx="8">
                  <c:v>4</c:v>
                </c:pt>
                <c:pt idx="9">
                  <c:v>7</c:v>
                </c:pt>
              </c:numCache>
            </c:numRef>
          </c:val>
        </c:ser>
        <c:ser>
          <c:idx val="2"/>
          <c:order val="2"/>
          <c:tx>
            <c:strRef>
              <c:f>банк!$H$8</c:f>
              <c:strCache>
                <c:ptCount val="1"/>
                <c:pt idx="0">
                  <c:v>финансирование МСП, млрд руб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accent3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банк!$E$9:$E$18</c:f>
              <c:strCache>
                <c:ptCount val="10"/>
                <c:pt idx="0">
                  <c:v>Сбербанк</c:v>
                </c:pt>
                <c:pt idx="1">
                  <c:v>Банк ВТБ </c:v>
                </c:pt>
                <c:pt idx="2">
                  <c:v>Промсвязьбанк</c:v>
                </c:pt>
                <c:pt idx="3">
                  <c:v>АЛЬФА-БАНК</c:v>
                </c:pt>
                <c:pt idx="4">
                  <c:v>МСП БАНК</c:v>
                </c:pt>
                <c:pt idx="5">
                  <c:v>ФК Открытие</c:v>
                </c:pt>
                <c:pt idx="6">
                  <c:v>СМП-Банк</c:v>
                </c:pt>
                <c:pt idx="7">
                  <c:v>БАНК ИНТЕЗА</c:v>
                </c:pt>
                <c:pt idx="8">
                  <c:v>ИНТЕРПРОГРЕССБАНК</c:v>
                </c:pt>
                <c:pt idx="9">
                  <c:v> Банк ЗЕНИТ</c:v>
                </c:pt>
              </c:strCache>
            </c:strRef>
          </c:cat>
          <c:val>
            <c:numRef>
              <c:f>банк!$H$9:$H$18</c:f>
              <c:numCache>
                <c:formatCode>#,##0.00</c:formatCode>
                <c:ptCount val="10"/>
                <c:pt idx="0">
                  <c:v>5745244632.6400003</c:v>
                </c:pt>
                <c:pt idx="1">
                  <c:v>4071832435.4099998</c:v>
                </c:pt>
                <c:pt idx="2">
                  <c:v>3691486076</c:v>
                </c:pt>
                <c:pt idx="3">
                  <c:v>2457300931.8599997</c:v>
                </c:pt>
                <c:pt idx="4">
                  <c:v>2094762526.5100002</c:v>
                </c:pt>
                <c:pt idx="5">
                  <c:v>1218322530</c:v>
                </c:pt>
                <c:pt idx="6">
                  <c:v>955000000</c:v>
                </c:pt>
                <c:pt idx="7">
                  <c:v>343500000</c:v>
                </c:pt>
                <c:pt idx="8">
                  <c:v>276200000</c:v>
                </c:pt>
                <c:pt idx="9">
                  <c:v>245000000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433931040"/>
        <c:axId val="-433921248"/>
      </c:barChart>
      <c:catAx>
        <c:axId val="-433931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33921248"/>
        <c:crosses val="autoZero"/>
        <c:auto val="1"/>
        <c:lblAlgn val="ctr"/>
        <c:lblOffset val="100"/>
        <c:noMultiLvlLbl val="0"/>
      </c:catAx>
      <c:valAx>
        <c:axId val="-433921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33931040"/>
        <c:crosses val="autoZero"/>
        <c:crossBetween val="between"/>
        <c:dispUnits>
          <c:builtInUnit val="billions"/>
          <c:dispUnitsLbl>
            <c:layout/>
            <c:tx>
              <c:rich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ru-RU" sz="800"/>
                    <a:t>млрд руб.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12744895981961987"/>
          <c:y val="9.3667072693261397E-2"/>
          <c:w val="0.78824358364600411"/>
          <c:h val="5.49556995983236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900" b="1"/>
              <a:t>Структура объема поручительств ФСКМБМ по целям финансирования МСП, </a:t>
            </a:r>
            <a:r>
              <a:rPr lang="en-US" sz="900" b="1"/>
              <a:t>I-IX, 2021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20874624582818238"/>
                  <c:y val="-4.844616068358867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960741293476928E-2"/>
                  <c:y val="-3.568463686448139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7822636031882152E-3"/>
                  <c:y val="-7.7520062388367591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8284793608728348E-4"/>
                  <c:y val="3.302935775200623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>
                  <a:lumMod val="95000"/>
                </a:schemeClr>
              </a:solidFill>
              <a:ln>
                <a:solidFill>
                  <a:schemeClr val="bg2">
                    <a:lumMod val="75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(цель!$B$9,цель!$B$10,цель!$B$11,цель!$B$12)</c:f>
              <c:strCache>
                <c:ptCount val="4"/>
                <c:pt idx="0">
                  <c:v>оборотные средства</c:v>
                </c:pt>
                <c:pt idx="1">
                  <c:v>инвестиции</c:v>
                </c:pt>
                <c:pt idx="2">
                  <c:v>рефинансирование</c:v>
                </c:pt>
                <c:pt idx="3">
                  <c:v>исполнение контракта</c:v>
                </c:pt>
              </c:strCache>
            </c:strRef>
          </c:cat>
          <c:val>
            <c:numRef>
              <c:f>(цель!$C$9,цель!$C$10,цель!$C$11,цель!$C$12)</c:f>
              <c:numCache>
                <c:formatCode>#,##0.00</c:formatCode>
                <c:ptCount val="4"/>
                <c:pt idx="0">
                  <c:v>8807192752.1299992</c:v>
                </c:pt>
                <c:pt idx="1">
                  <c:v>906664126.38</c:v>
                </c:pt>
                <c:pt idx="2">
                  <c:v>287964000</c:v>
                </c:pt>
                <c:pt idx="3">
                  <c:v>973980671.26999998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900"/>
              <a:t>Структура финансирования МСП с гарантийной поддержкой ФСКМБМ, </a:t>
            </a:r>
            <a:r>
              <a:rPr lang="en-US" sz="900"/>
              <a:t>I-IX, 2021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1050724823780584"/>
          <c:y val="0.28801146141618128"/>
          <c:w val="0.42677815957936766"/>
          <c:h val="0.7114000565079782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-6.5231572080888256E-3"/>
                  <c:y val="-5.0743308228189621E-2"/>
                </c:manualLayout>
              </c:layout>
              <c:spPr>
                <a:solidFill>
                  <a:schemeClr val="bg1">
                    <a:lumMod val="95000"/>
                  </a:schemeClr>
                </a:solidFill>
                <a:ln>
                  <a:solidFill>
                    <a:schemeClr val="bg2">
                      <a:lumMod val="75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0965427266797122"/>
                      <c:h val="0.2990213845596230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17510003030443114"/>
                  <c:y val="-2.303071122996178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>
                  <a:lumMod val="95000"/>
                </a:schemeClr>
              </a:solidFill>
              <a:ln>
                <a:solidFill>
                  <a:schemeClr val="bg2">
                    <a:lumMod val="75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('30.09.21'!$B$45,'30.09.21'!$B$46,'30.09.21'!$B$47)</c:f>
              <c:strCache>
                <c:ptCount val="3"/>
                <c:pt idx="0">
                  <c:v>с субсидией Москвы</c:v>
                </c:pt>
                <c:pt idx="1">
                  <c:v>с субсидией Минэкономразвития РФ</c:v>
                </c:pt>
                <c:pt idx="2">
                  <c:v>По рыночной ставке </c:v>
                </c:pt>
              </c:strCache>
            </c:strRef>
          </c:cat>
          <c:val>
            <c:numRef>
              <c:f>('30.09.21'!$E$45,'30.09.21'!$E$46,'30.09.21'!$E$47)</c:f>
              <c:numCache>
                <c:formatCode>General</c:formatCode>
                <c:ptCount val="3"/>
                <c:pt idx="0">
                  <c:v>6977053236.2299995</c:v>
                </c:pt>
                <c:pt idx="1">
                  <c:v>4006482710</c:v>
                </c:pt>
                <c:pt idx="2" formatCode="#,##0.00">
                  <c:v>11511368130.360004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Берсенева Ольга Владиславовна</dc:creator>
  <cp:lastModifiedBy>Татьяна Репина</cp:lastModifiedBy>
  <cp:revision>3</cp:revision>
  <cp:lastPrinted>2021-10-07T09:21:00Z</cp:lastPrinted>
  <dcterms:created xsi:type="dcterms:W3CDTF">2021-10-13T16:05:00Z</dcterms:created>
  <dcterms:modified xsi:type="dcterms:W3CDTF">2021-10-13T16:08:00Z</dcterms:modified>
</cp:coreProperties>
</file>